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C5072" w14:textId="6826166C" w:rsidR="00DE5A79" w:rsidRDefault="00DE5A79" w:rsidP="00DE5A79">
      <w:pPr>
        <w:spacing w:after="200" w:line="360" w:lineRule="auto"/>
        <w:jc w:val="both"/>
        <w:rPr>
          <w:b/>
          <w:sz w:val="28"/>
          <w:szCs w:val="28"/>
        </w:rPr>
      </w:pPr>
      <w:bookmarkStart w:id="0" w:name="_GoBack"/>
      <w:proofErr w:type="spellStart"/>
      <w:r>
        <w:rPr>
          <w:b/>
          <w:sz w:val="28"/>
          <w:szCs w:val="28"/>
        </w:rPr>
        <w:t>Touax</w:t>
      </w:r>
      <w:proofErr w:type="spellEnd"/>
      <w:r w:rsidR="00447C9C">
        <w:rPr>
          <w:b/>
          <w:sz w:val="28"/>
          <w:szCs w:val="28"/>
        </w:rPr>
        <w:t xml:space="preserve"> pokračuje ve </w:t>
      </w:r>
      <w:r w:rsidR="001531DA">
        <w:rPr>
          <w:b/>
          <w:sz w:val="28"/>
          <w:szCs w:val="28"/>
        </w:rPr>
        <w:t>spolupráci s maloobchodní sítí COOP</w:t>
      </w:r>
      <w:bookmarkEnd w:id="0"/>
      <w:r w:rsidR="001531DA">
        <w:rPr>
          <w:b/>
          <w:sz w:val="28"/>
          <w:szCs w:val="28"/>
        </w:rPr>
        <w:t>:</w:t>
      </w:r>
      <w:r w:rsidR="00447C9C">
        <w:rPr>
          <w:b/>
          <w:sz w:val="28"/>
          <w:szCs w:val="28"/>
        </w:rPr>
        <w:t xml:space="preserve"> v listopadu dokončil další objekt</w:t>
      </w:r>
      <w:r>
        <w:rPr>
          <w:b/>
          <w:sz w:val="28"/>
          <w:szCs w:val="28"/>
        </w:rPr>
        <w:t xml:space="preserve"> </w:t>
      </w:r>
    </w:p>
    <w:p w14:paraId="72870ADD" w14:textId="47EB94BA" w:rsidR="00730D23" w:rsidRDefault="00730D23" w:rsidP="00432C1A">
      <w:pPr>
        <w:spacing w:line="360" w:lineRule="auto"/>
        <w:jc w:val="both"/>
        <w:rPr>
          <w:b/>
        </w:rPr>
      </w:pPr>
      <w:r w:rsidRPr="00B234AA">
        <w:rPr>
          <w:b/>
        </w:rPr>
        <w:t xml:space="preserve">Praha, </w:t>
      </w:r>
      <w:r w:rsidR="00752CE5">
        <w:rPr>
          <w:b/>
        </w:rPr>
        <w:t>29</w:t>
      </w:r>
      <w:r w:rsidR="00EF6433">
        <w:rPr>
          <w:b/>
        </w:rPr>
        <w:t xml:space="preserve">. </w:t>
      </w:r>
      <w:r w:rsidR="00421C64">
        <w:rPr>
          <w:b/>
        </w:rPr>
        <w:t>11</w:t>
      </w:r>
      <w:r w:rsidR="0085317B">
        <w:rPr>
          <w:b/>
        </w:rPr>
        <w:t>.</w:t>
      </w:r>
      <w:r w:rsidR="00AD55B3">
        <w:rPr>
          <w:b/>
        </w:rPr>
        <w:t xml:space="preserve"> </w:t>
      </w:r>
      <w:r>
        <w:rPr>
          <w:b/>
        </w:rPr>
        <w:t>2016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061C60">
        <w:rPr>
          <w:b/>
        </w:rPr>
        <w:t xml:space="preserve"> </w:t>
      </w:r>
      <w:r w:rsidR="00DC580D" w:rsidRPr="00DC580D">
        <w:rPr>
          <w:b/>
        </w:rPr>
        <w:t>Svaz českých a moravských spo</w:t>
      </w:r>
      <w:r w:rsidR="00DC580D">
        <w:rPr>
          <w:b/>
        </w:rPr>
        <w:t>třebních družstev</w:t>
      </w:r>
      <w:r w:rsidR="00DC580D" w:rsidRPr="00DC580D">
        <w:rPr>
          <w:b/>
        </w:rPr>
        <w:t xml:space="preserve"> sdružuje 46 spotřebních družstev, kt</w:t>
      </w:r>
      <w:r w:rsidR="001531DA">
        <w:rPr>
          <w:b/>
        </w:rPr>
        <w:t xml:space="preserve">erá v ČR provozují dohromady téměř 2 </w:t>
      </w:r>
      <w:r w:rsidR="00DC580D" w:rsidRPr="00DC580D">
        <w:rPr>
          <w:b/>
        </w:rPr>
        <w:t>900 prodejen s celk</w:t>
      </w:r>
      <w:r w:rsidR="001C31D4">
        <w:rPr>
          <w:b/>
        </w:rPr>
        <w:t xml:space="preserve">ovou prodejní plochou okolo 350 </w:t>
      </w:r>
      <w:r w:rsidR="00DC580D" w:rsidRPr="00DC580D">
        <w:rPr>
          <w:b/>
        </w:rPr>
        <w:t>000 m</w:t>
      </w:r>
      <w:r w:rsidR="00DC580D" w:rsidRPr="00DC580D">
        <w:rPr>
          <w:b/>
          <w:vertAlign w:val="superscript"/>
        </w:rPr>
        <w:t>2</w:t>
      </w:r>
      <w:r w:rsidR="001531DA">
        <w:rPr>
          <w:b/>
        </w:rPr>
        <w:t xml:space="preserve"> a zaměstnávají na </w:t>
      </w:r>
      <w:r w:rsidR="001C31D4">
        <w:rPr>
          <w:b/>
        </w:rPr>
        <w:t xml:space="preserve">14 </w:t>
      </w:r>
      <w:r w:rsidR="00DC580D" w:rsidRPr="00DC580D">
        <w:rPr>
          <w:b/>
        </w:rPr>
        <w:t>000 lidí.</w:t>
      </w:r>
      <w:r w:rsidR="00DC580D" w:rsidRPr="00DC580D">
        <w:t xml:space="preserve"> </w:t>
      </w:r>
      <w:r w:rsidR="00DC580D" w:rsidRPr="00DC580D">
        <w:rPr>
          <w:b/>
        </w:rPr>
        <w:t>Členská družstva vystupují pod společnou značkou COOP, která je tak největší sítí prodejen potravin</w:t>
      </w:r>
      <w:r w:rsidR="001531DA">
        <w:rPr>
          <w:b/>
        </w:rPr>
        <w:t>, drogistického</w:t>
      </w:r>
      <w:r w:rsidR="00DC580D" w:rsidRPr="00DC580D">
        <w:rPr>
          <w:b/>
        </w:rPr>
        <w:t xml:space="preserve"> </w:t>
      </w:r>
      <w:r w:rsidR="001531DA">
        <w:rPr>
          <w:b/>
        </w:rPr>
        <w:t xml:space="preserve">a průmyslového zboží </w:t>
      </w:r>
      <w:r w:rsidR="00DC580D" w:rsidRPr="00DC580D">
        <w:rPr>
          <w:b/>
        </w:rPr>
        <w:t xml:space="preserve">v České republice. </w:t>
      </w:r>
      <w:r w:rsidR="001531DA">
        <w:rPr>
          <w:b/>
        </w:rPr>
        <w:t xml:space="preserve">Ty </w:t>
      </w:r>
      <w:r w:rsidR="00DC580D">
        <w:rPr>
          <w:b/>
        </w:rPr>
        <w:t>jsou v řadě menších měs</w:t>
      </w:r>
      <w:r w:rsidR="001531DA">
        <w:rPr>
          <w:b/>
        </w:rPr>
        <w:t>t a vesnic jedinou možností, jak</w:t>
      </w:r>
      <w:r w:rsidR="00DC580D">
        <w:rPr>
          <w:b/>
        </w:rPr>
        <w:t xml:space="preserve"> nabídnout obyvatelům základní sortiment, ab</w:t>
      </w:r>
      <w:r w:rsidR="001C31D4">
        <w:rPr>
          <w:b/>
        </w:rPr>
        <w:t>y nemuseli kvůli každému menšímu nákupu</w:t>
      </w:r>
      <w:r w:rsidR="00DC580D">
        <w:rPr>
          <w:b/>
        </w:rPr>
        <w:t xml:space="preserve"> </w:t>
      </w:r>
      <w:r w:rsidR="001531DA">
        <w:rPr>
          <w:b/>
        </w:rPr>
        <w:t>dojíždě</w:t>
      </w:r>
      <w:r w:rsidR="00DC580D">
        <w:rPr>
          <w:b/>
        </w:rPr>
        <w:t xml:space="preserve">t </w:t>
      </w:r>
      <w:r w:rsidR="001531DA">
        <w:rPr>
          <w:b/>
        </w:rPr>
        <w:t>do větších měst. Právě pro </w:t>
      </w:r>
      <w:r w:rsidR="00DC580D">
        <w:rPr>
          <w:b/>
        </w:rPr>
        <w:t>jednu z těchto prodejen – Jednotu v jihomoravských Slušovicích –</w:t>
      </w:r>
      <w:r w:rsidR="00757177">
        <w:rPr>
          <w:b/>
        </w:rPr>
        <w:t xml:space="preserve"> postavila</w:t>
      </w:r>
      <w:r w:rsidR="00DC580D">
        <w:rPr>
          <w:b/>
        </w:rPr>
        <w:t xml:space="preserve"> společnost </w:t>
      </w:r>
      <w:proofErr w:type="spellStart"/>
      <w:r w:rsidR="00DC580D">
        <w:rPr>
          <w:b/>
        </w:rPr>
        <w:t>Touax</w:t>
      </w:r>
      <w:proofErr w:type="spellEnd"/>
      <w:r w:rsidR="00DC580D">
        <w:rPr>
          <w:b/>
        </w:rPr>
        <w:t>, přední výrobce a dodavatel</w:t>
      </w:r>
      <w:r w:rsidR="00DC580D" w:rsidRPr="00DC580D">
        <w:rPr>
          <w:b/>
        </w:rPr>
        <w:t xml:space="preserve"> modulových staveb</w:t>
      </w:r>
      <w:r w:rsidR="00DC580D">
        <w:rPr>
          <w:b/>
        </w:rPr>
        <w:t xml:space="preserve">, nový sklad.  </w:t>
      </w:r>
    </w:p>
    <w:p w14:paraId="41B8BE3D" w14:textId="33E8190A" w:rsidR="00FB05C8" w:rsidRDefault="00FB05C8" w:rsidP="00FB05C8">
      <w:pPr>
        <w:spacing w:line="360" w:lineRule="auto"/>
        <w:jc w:val="both"/>
        <w:rPr>
          <w:b/>
        </w:rPr>
      </w:pPr>
    </w:p>
    <w:p w14:paraId="45860483" w14:textId="7C42200C" w:rsidR="00AC54E4" w:rsidRDefault="00AC54E4" w:rsidP="00757177">
      <w:pPr>
        <w:spacing w:after="200"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956B282" wp14:editId="179F6417">
            <wp:simplePos x="0" y="0"/>
            <wp:positionH relativeFrom="margin">
              <wp:posOffset>4326255</wp:posOffset>
            </wp:positionH>
            <wp:positionV relativeFrom="paragraph">
              <wp:posOffset>20320</wp:posOffset>
            </wp:positionV>
            <wp:extent cx="2496185" cy="1664970"/>
            <wp:effectExtent l="0" t="0" r="0" b="0"/>
            <wp:wrapThrough wrapText="bothSides">
              <wp:wrapPolygon edited="0">
                <wp:start x="0" y="0"/>
                <wp:lineTo x="0" y="21254"/>
                <wp:lineTo x="21430" y="21254"/>
                <wp:lineTo x="21430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2 Jednota Mikulov Pohorelice ext 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57177">
        <w:t>Touax</w:t>
      </w:r>
      <w:proofErr w:type="spellEnd"/>
      <w:r w:rsidR="00757177">
        <w:t xml:space="preserve"> postavil v uplynulých letech pro tuto maloobchodní síť </w:t>
      </w:r>
      <w:r w:rsidR="001531DA">
        <w:t>obchody se </w:t>
      </w:r>
      <w:r w:rsidR="00757177">
        <w:t>smíšeným zbožím v Horních Věs</w:t>
      </w:r>
      <w:r w:rsidR="001531DA">
        <w:t>tonicích a Olšanech u Vyškova a </w:t>
      </w:r>
      <w:r w:rsidR="00757177">
        <w:t>obchod s </w:t>
      </w:r>
      <w:r w:rsidR="001531DA">
        <w:t>obuví v Pohořelicích u Brna. P</w:t>
      </w:r>
      <w:r w:rsidR="00757177">
        <w:t xml:space="preserve">rotože </w:t>
      </w:r>
      <w:r w:rsidR="001531DA">
        <w:t>zástupci Jednoty</w:t>
      </w:r>
      <w:r w:rsidR="00E30CDB">
        <w:t>, spotřební družstvo ve Zlíně, měli na samém začátku možnost prohlédnout si již realizovaný projekt právě v Pohořelicích,</w:t>
      </w:r>
      <w:r w:rsidR="00757177">
        <w:t xml:space="preserve"> rozhodli se pro toto řešení i v případě nového skladu</w:t>
      </w:r>
      <w:r w:rsidR="00E30CDB">
        <w:t xml:space="preserve"> ve Slušovicích</w:t>
      </w:r>
      <w:r w:rsidR="00757177">
        <w:t xml:space="preserve">. </w:t>
      </w:r>
      <w:r w:rsidR="00757177" w:rsidRPr="00F8164C">
        <w:rPr>
          <w:i/>
        </w:rPr>
        <w:t>„Modulov</w:t>
      </w:r>
      <w:r w:rsidR="00757177">
        <w:rPr>
          <w:i/>
        </w:rPr>
        <w:t>é objekty dávají investorovi šanci pružně reagovat na chování trhu a vývoj v regionu,</w:t>
      </w:r>
      <w:r w:rsidR="001531DA">
        <w:rPr>
          <w:i/>
        </w:rPr>
        <w:t>“</w:t>
      </w:r>
      <w:r w:rsidR="00757177">
        <w:rPr>
          <w:i/>
        </w:rPr>
        <w:t xml:space="preserve"> </w:t>
      </w:r>
      <w:r w:rsidR="00757177">
        <w:t xml:space="preserve">uvádí výhody </w:t>
      </w:r>
      <w:r>
        <w:t xml:space="preserve">modulové technologie Jan Petr, </w:t>
      </w:r>
      <w:r>
        <w:rPr>
          <w:color w:val="000000" w:themeColor="text1"/>
        </w:rPr>
        <w:t>marketingový</w:t>
      </w:r>
      <w:r w:rsidRPr="0042328F">
        <w:rPr>
          <w:color w:val="000000" w:themeColor="text1"/>
        </w:rPr>
        <w:t xml:space="preserve"> </w:t>
      </w:r>
      <w:r>
        <w:rPr>
          <w:color w:val="000000" w:themeColor="text1"/>
        </w:rPr>
        <w:t>a exportní ředitel</w:t>
      </w:r>
      <w:r w:rsidRPr="0042328F">
        <w:rPr>
          <w:color w:val="000000" w:themeColor="text1"/>
        </w:rPr>
        <w:t xml:space="preserve"> společnosti </w:t>
      </w:r>
      <w:proofErr w:type="spellStart"/>
      <w:r w:rsidRPr="0042328F">
        <w:rPr>
          <w:color w:val="000000" w:themeColor="text1"/>
        </w:rPr>
        <w:t>Touax</w:t>
      </w:r>
      <w:proofErr w:type="spellEnd"/>
      <w:r>
        <w:rPr>
          <w:color w:val="000000" w:themeColor="text1"/>
        </w:rPr>
        <w:t>, a dodává:</w:t>
      </w:r>
      <w:r w:rsidR="00757177">
        <w:rPr>
          <w:i/>
        </w:rPr>
        <w:t xml:space="preserve"> </w:t>
      </w:r>
      <w:r>
        <w:rPr>
          <w:i/>
        </w:rPr>
        <w:t>„Prodejnu či sklad lze</w:t>
      </w:r>
      <w:r w:rsidR="00757177">
        <w:rPr>
          <w:i/>
        </w:rPr>
        <w:t xml:space="preserve"> podle potřeby zvětšit či zmenšit nebo </w:t>
      </w:r>
      <w:r w:rsidR="001531DA">
        <w:rPr>
          <w:i/>
        </w:rPr>
        <w:t xml:space="preserve">dokonce i </w:t>
      </w:r>
      <w:r w:rsidR="00757177">
        <w:rPr>
          <w:i/>
        </w:rPr>
        <w:t xml:space="preserve">snadno přestěhovat. </w:t>
      </w:r>
      <w:r>
        <w:rPr>
          <w:i/>
        </w:rPr>
        <w:t>D</w:t>
      </w:r>
      <w:r w:rsidR="00757177">
        <w:rPr>
          <w:i/>
        </w:rPr>
        <w:t>íky speciální lamelové fasádě</w:t>
      </w:r>
      <w:r w:rsidR="001531DA">
        <w:rPr>
          <w:i/>
        </w:rPr>
        <w:t xml:space="preserve"> dokážeme příslušné objekty</w:t>
      </w:r>
      <w:r w:rsidR="00757177">
        <w:rPr>
          <w:i/>
        </w:rPr>
        <w:t xml:space="preserve"> také 'obléknout' do firemních barev</w:t>
      </w:r>
      <w:r>
        <w:rPr>
          <w:i/>
        </w:rPr>
        <w:t>.</w:t>
      </w:r>
      <w:r w:rsidR="00757177">
        <w:rPr>
          <w:i/>
        </w:rPr>
        <w:t>“</w:t>
      </w:r>
      <w:r w:rsidR="00757177" w:rsidRPr="00DE27B9">
        <w:t xml:space="preserve"> </w:t>
      </w:r>
    </w:p>
    <w:p w14:paraId="7F5FD4C5" w14:textId="546840EB" w:rsidR="006567F5" w:rsidRDefault="001C31D4" w:rsidP="007E2421">
      <w:pPr>
        <w:spacing w:after="200" w:line="360" w:lineRule="auto"/>
        <w:jc w:val="both"/>
      </w:pPr>
      <w:r w:rsidRPr="001C31D4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B36695D" wp14:editId="11307F64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2638425" cy="1583055"/>
            <wp:effectExtent l="0" t="0" r="9525" b="0"/>
            <wp:wrapTight wrapText="bothSides">
              <wp:wrapPolygon edited="0">
                <wp:start x="0" y="0"/>
                <wp:lineTo x="0" y="21314"/>
                <wp:lineTo x="21522" y="21314"/>
                <wp:lineTo x="21522" y="0"/>
                <wp:lineTo x="0" y="0"/>
              </wp:wrapPolygon>
            </wp:wrapTight>
            <wp:docPr id="3" name="Obrázek 3" descr="I:\PR-Reality\Touax\Podklady\Jednota\20160727_13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Podklady\Jednota\20160727_1327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1DA">
        <w:t>Nově postavená</w:t>
      </w:r>
      <w:r w:rsidR="0034200B" w:rsidRPr="003729B8">
        <w:t xml:space="preserve"> jednopodlažní budova</w:t>
      </w:r>
      <w:r w:rsidR="001531DA">
        <w:t xml:space="preserve"> skladu</w:t>
      </w:r>
      <w:r w:rsidR="001531DA">
        <w:rPr>
          <w:vertAlign w:val="subscript"/>
        </w:rPr>
        <w:t xml:space="preserve"> </w:t>
      </w:r>
      <w:r w:rsidR="001531DA">
        <w:t xml:space="preserve">Jednoty ve Slušovicích </w:t>
      </w:r>
      <w:r w:rsidR="0034200B" w:rsidRPr="003729B8">
        <w:t>s rovnou střechou</w:t>
      </w:r>
      <w:r w:rsidR="0034200B">
        <w:rPr>
          <w:vertAlign w:val="subscript"/>
        </w:rPr>
        <w:t xml:space="preserve"> </w:t>
      </w:r>
      <w:r w:rsidR="0034200B" w:rsidRPr="003729B8">
        <w:t>má jednoduchý obdélníkový tvar</w:t>
      </w:r>
      <w:r w:rsidR="0034200B">
        <w:t xml:space="preserve"> s celkovou podlahovou plochou 132 m</w:t>
      </w:r>
      <w:r w:rsidR="0034200B" w:rsidRPr="0034200B">
        <w:rPr>
          <w:vertAlign w:val="superscript"/>
        </w:rPr>
        <w:t>2</w:t>
      </w:r>
      <w:r w:rsidR="0034200B">
        <w:t xml:space="preserve"> a je přímo napojena na s</w:t>
      </w:r>
      <w:r w:rsidR="001531DA">
        <w:t>távající objekt prodejny</w:t>
      </w:r>
      <w:r w:rsidR="0034200B">
        <w:t>.</w:t>
      </w:r>
      <w:r w:rsidR="005729AF">
        <w:t xml:space="preserve"> Pro výstavbu bylo použito 5</w:t>
      </w:r>
      <w:r w:rsidR="00E30CDB">
        <w:t xml:space="preserve"> kusů modulů řady Performance o půdorysu</w:t>
      </w:r>
      <w:r w:rsidR="005729AF">
        <w:t xml:space="preserve"> 12 x 12 m. Pro příjem zboží byly v prostoru přímo sousedícím se skladem vytvořeny rampy. Kvůli </w:t>
      </w:r>
      <w:r>
        <w:t>velkému zatížení</w:t>
      </w:r>
      <w:r w:rsidR="005729AF">
        <w:t xml:space="preserve"> je součástí objektu také speciální betonová podlaha umožňující pojezd paletovým vozíkem s břemenem o váze 1 200 kg. </w:t>
      </w:r>
      <w:r w:rsidR="005729AF" w:rsidRPr="005729AF">
        <w:rPr>
          <w:i/>
        </w:rPr>
        <w:t>„Velkou výhodou staveb z modulů je také rychlost jejich realizace. Kompletní objekt skladu</w:t>
      </w:r>
      <w:r>
        <w:rPr>
          <w:i/>
        </w:rPr>
        <w:t xml:space="preserve"> </w:t>
      </w:r>
      <w:r w:rsidR="00BD3BC3">
        <w:rPr>
          <w:i/>
        </w:rPr>
        <w:t xml:space="preserve">Jednoty </w:t>
      </w:r>
      <w:r>
        <w:rPr>
          <w:i/>
        </w:rPr>
        <w:t>v</w:t>
      </w:r>
      <w:r w:rsidR="00BD3BC3">
        <w:rPr>
          <w:i/>
        </w:rPr>
        <w:t>e</w:t>
      </w:r>
      <w:r>
        <w:rPr>
          <w:i/>
        </w:rPr>
        <w:t xml:space="preserve"> Slušovicích</w:t>
      </w:r>
      <w:r w:rsidR="00BD3BC3">
        <w:rPr>
          <w:i/>
        </w:rPr>
        <w:t xml:space="preserve"> byl postaven během 4 </w:t>
      </w:r>
      <w:r w:rsidR="005729AF" w:rsidRPr="005729AF">
        <w:rPr>
          <w:i/>
        </w:rPr>
        <w:t>dnů,“</w:t>
      </w:r>
      <w:r w:rsidR="005729AF">
        <w:t xml:space="preserve"> doplňuje Jan Petr.</w:t>
      </w:r>
      <w:r>
        <w:t xml:space="preserve"> Nový objekt bu</w:t>
      </w:r>
      <w:r w:rsidR="00E30CDB">
        <w:t xml:space="preserve">de sloužit ke skladování </w:t>
      </w:r>
      <w:r>
        <w:t>sortimentu pro</w:t>
      </w:r>
      <w:r w:rsidR="00BD3BC3">
        <w:t xml:space="preserve">dejny a součástí bude i </w:t>
      </w:r>
      <w:r>
        <w:t>oddíl sloužící k uchovávání mražených a chlazených potravin.</w:t>
      </w:r>
      <w:r w:rsidR="005729AF">
        <w:t xml:space="preserve"> </w:t>
      </w:r>
      <w:r w:rsidR="0034200B">
        <w:t xml:space="preserve">  </w:t>
      </w:r>
      <w:r w:rsidR="00757177">
        <w:t xml:space="preserve"> </w:t>
      </w:r>
      <w:r w:rsidR="009F7880">
        <w:t xml:space="preserve"> </w:t>
      </w:r>
    </w:p>
    <w:p w14:paraId="6A24F62B" w14:textId="77777777" w:rsidR="00BD3BC3" w:rsidRPr="00BD3BC3" w:rsidRDefault="00BD3BC3" w:rsidP="007E2421">
      <w:pPr>
        <w:spacing w:after="200" w:line="360" w:lineRule="auto"/>
        <w:jc w:val="both"/>
        <w:rPr>
          <w:i/>
        </w:rPr>
      </w:pPr>
    </w:p>
    <w:p w14:paraId="1A728C9E" w14:textId="77777777" w:rsidR="0085317B" w:rsidRPr="00763369" w:rsidRDefault="0085317B" w:rsidP="0085317B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37895766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Touax</w:t>
      </w:r>
      <w:proofErr w:type="spellEnd"/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 xml:space="preserve">inou společností Divize modulových staveb francouzské skupiny </w:t>
      </w:r>
      <w:proofErr w:type="spellStart"/>
      <w:r>
        <w:rPr>
          <w:sz w:val="18"/>
          <w:szCs w:val="18"/>
        </w:rPr>
        <w:t>Touax</w:t>
      </w:r>
      <w:proofErr w:type="spellEnd"/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 xml:space="preserve">hlavní výrobní závod a vývojové oddělení pro celou </w:t>
      </w:r>
      <w:r>
        <w:rPr>
          <w:sz w:val="18"/>
          <w:szCs w:val="18"/>
        </w:rPr>
        <w:lastRenderedPageBreak/>
        <w:t>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celé skupiny </w:t>
      </w:r>
      <w:proofErr w:type="spellStart"/>
      <w:r>
        <w:rPr>
          <w:sz w:val="18"/>
          <w:szCs w:val="18"/>
        </w:rPr>
        <w:t>Touax</w:t>
      </w:r>
      <w:proofErr w:type="spellEnd"/>
      <w:r>
        <w:rPr>
          <w:sz w:val="18"/>
          <w:szCs w:val="18"/>
        </w:rPr>
        <w:t>, zejména z modulových trhů Evropské unie.</w:t>
      </w:r>
    </w:p>
    <w:p w14:paraId="2AEAC144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0B05260C" w14:textId="77777777" w:rsidR="0085317B" w:rsidRPr="0003266D" w:rsidRDefault="0085317B" w:rsidP="0085317B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proofErr w:type="spellStart"/>
      <w:r w:rsidRPr="0003266D">
        <w:rPr>
          <w:rFonts w:ascii="Arial" w:hAnsi="Arial" w:cs="Arial"/>
          <w:b/>
          <w:sz w:val="18"/>
          <w:szCs w:val="18"/>
        </w:rPr>
        <w:t>Touax</w:t>
      </w:r>
      <w:proofErr w:type="spellEnd"/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5F9153C1" w14:textId="77777777" w:rsidR="0085317B" w:rsidRPr="005315B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 xml:space="preserve">Společnost </w:t>
      </w:r>
      <w:proofErr w:type="spellStart"/>
      <w:r w:rsidRPr="005315B1">
        <w:rPr>
          <w:sz w:val="18"/>
          <w:szCs w:val="18"/>
        </w:rPr>
        <w:t>Touax</w:t>
      </w:r>
      <w:proofErr w:type="spellEnd"/>
      <w:r w:rsidRPr="005315B1">
        <w:rPr>
          <w:sz w:val="18"/>
          <w:szCs w:val="18"/>
        </w:rPr>
        <w:t xml:space="preserve">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  <w:r w:rsidRPr="005315B1">
        <w:rPr>
          <w:iCs/>
          <w:sz w:val="18"/>
          <w:szCs w:val="18"/>
        </w:rPr>
        <w:t>.</w:t>
      </w:r>
    </w:p>
    <w:p w14:paraId="6546F232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6DC65542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6CC1B0CC" w14:textId="77777777" w:rsidR="0085317B" w:rsidRPr="00750CDB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proofErr w:type="spellStart"/>
      <w:r w:rsidRPr="00750CDB">
        <w:rPr>
          <w:b/>
          <w:sz w:val="18"/>
          <w:szCs w:val="18"/>
        </w:rPr>
        <w:t>Touax</w:t>
      </w:r>
      <w:proofErr w:type="spellEnd"/>
      <w:r w:rsidRPr="00750CDB">
        <w:rPr>
          <w:b/>
          <w:sz w:val="18"/>
          <w:szCs w:val="18"/>
        </w:rPr>
        <w:t xml:space="preserve">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Crest</w:t>
      </w:r>
      <w:proofErr w:type="spellEnd"/>
      <w:r>
        <w:rPr>
          <w:b/>
          <w:sz w:val="18"/>
          <w:szCs w:val="18"/>
        </w:rPr>
        <w:t xml:space="preserve"> Communications a.s.</w:t>
      </w:r>
    </w:p>
    <w:p w14:paraId="5DA86AA2" w14:textId="4DC582BC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  <w:t>Veronika Boráková</w:t>
      </w:r>
    </w:p>
    <w:p w14:paraId="210FB1AE" w14:textId="7374AFDA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 w:rsidR="00E07550">
        <w:rPr>
          <w:sz w:val="18"/>
          <w:szCs w:val="18"/>
        </w:rPr>
        <w:t> </w:t>
      </w:r>
      <w:r w:rsidRPr="00763369">
        <w:rPr>
          <w:sz w:val="18"/>
          <w:szCs w:val="18"/>
        </w:rPr>
        <w:t>7</w:t>
      </w:r>
      <w:r w:rsidR="00E07550">
        <w:rPr>
          <w:sz w:val="18"/>
          <w:szCs w:val="18"/>
        </w:rPr>
        <w:t>73 501 477</w:t>
      </w:r>
    </w:p>
    <w:p w14:paraId="7220181B" w14:textId="724D59D5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10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 xml:space="preserve">: </w:t>
      </w:r>
      <w:hyperlink r:id="rId11" w:history="1">
        <w:r w:rsidR="00E07550" w:rsidRPr="00C15BC6">
          <w:rPr>
            <w:rStyle w:val="Hypertextovodkaz"/>
            <w:sz w:val="18"/>
            <w:szCs w:val="18"/>
          </w:rPr>
          <w:t>veronika.borakova@crestcom.cz</w:t>
        </w:r>
      </w:hyperlink>
    </w:p>
    <w:p w14:paraId="5449B0FA" w14:textId="77777777" w:rsidR="005223A3" w:rsidRPr="001B7CBE" w:rsidRDefault="005223A3" w:rsidP="00F03D42"/>
    <w:sectPr w:rsidR="005223A3" w:rsidRPr="001B7CBE" w:rsidSect="000D67AA">
      <w:headerReference w:type="default" r:id="rId12"/>
      <w:footerReference w:type="default" r:id="rId13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E2F14" w14:textId="77777777" w:rsidR="000F288D" w:rsidRDefault="000F288D" w:rsidP="00EE3EA8">
      <w:r>
        <w:separator/>
      </w:r>
    </w:p>
  </w:endnote>
  <w:endnote w:type="continuationSeparator" w:id="0">
    <w:p w14:paraId="1F9FEF69" w14:textId="77777777" w:rsidR="000F288D" w:rsidRDefault="000F288D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D73D2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E7C5553" wp14:editId="12E24033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A0F5D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proofErr w:type="spellStart"/>
    <w:r w:rsidR="00B05F51" w:rsidRPr="000D67AA">
      <w:rPr>
        <w:b/>
        <w:color w:val="002065"/>
        <w:sz w:val="16"/>
        <w:szCs w:val="16"/>
      </w:rPr>
      <w:t>Touax</w:t>
    </w:r>
    <w:proofErr w:type="spellEnd"/>
    <w:r w:rsidR="00B05F51" w:rsidRPr="000D67AA">
      <w:rPr>
        <w:b/>
        <w:color w:val="002065"/>
        <w:sz w:val="16"/>
        <w:szCs w:val="16"/>
      </w:rPr>
      <w:t xml:space="preserve"> s.r.o.</w:t>
    </w:r>
  </w:p>
  <w:p w14:paraId="1A70E834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7888CD1B" w14:textId="4ACF6B3D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33318A2F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FFF23" w14:textId="77777777" w:rsidR="000F288D" w:rsidRDefault="000F288D" w:rsidP="00EE3EA8">
      <w:r>
        <w:separator/>
      </w:r>
    </w:p>
  </w:footnote>
  <w:footnote w:type="continuationSeparator" w:id="0">
    <w:p w14:paraId="7A46F1B3" w14:textId="77777777" w:rsidR="000F288D" w:rsidRDefault="000F288D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71061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2F19CAA7" wp14:editId="0B80279C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239AC"/>
    <w:rsid w:val="00034162"/>
    <w:rsid w:val="00052500"/>
    <w:rsid w:val="00060D33"/>
    <w:rsid w:val="00061C60"/>
    <w:rsid w:val="00071741"/>
    <w:rsid w:val="000727B6"/>
    <w:rsid w:val="000779D3"/>
    <w:rsid w:val="0009435A"/>
    <w:rsid w:val="000946C4"/>
    <w:rsid w:val="000A67AD"/>
    <w:rsid w:val="000D382A"/>
    <w:rsid w:val="000D67AA"/>
    <w:rsid w:val="000F288D"/>
    <w:rsid w:val="000F6B7F"/>
    <w:rsid w:val="00100230"/>
    <w:rsid w:val="001066D2"/>
    <w:rsid w:val="00110DF7"/>
    <w:rsid w:val="00126CC8"/>
    <w:rsid w:val="001443CD"/>
    <w:rsid w:val="00145188"/>
    <w:rsid w:val="001531DA"/>
    <w:rsid w:val="00164259"/>
    <w:rsid w:val="00166703"/>
    <w:rsid w:val="00166F14"/>
    <w:rsid w:val="00172DA2"/>
    <w:rsid w:val="0017549B"/>
    <w:rsid w:val="001754DD"/>
    <w:rsid w:val="00177267"/>
    <w:rsid w:val="0017731D"/>
    <w:rsid w:val="00181287"/>
    <w:rsid w:val="00191FF7"/>
    <w:rsid w:val="00194CC5"/>
    <w:rsid w:val="00196585"/>
    <w:rsid w:val="001A71C1"/>
    <w:rsid w:val="001B0DEA"/>
    <w:rsid w:val="001B7CBE"/>
    <w:rsid w:val="001C0E8B"/>
    <w:rsid w:val="001C183E"/>
    <w:rsid w:val="001C31D4"/>
    <w:rsid w:val="001C332D"/>
    <w:rsid w:val="001C3B7C"/>
    <w:rsid w:val="001C3D1B"/>
    <w:rsid w:val="001F1689"/>
    <w:rsid w:val="00201FA7"/>
    <w:rsid w:val="0020756D"/>
    <w:rsid w:val="002128CA"/>
    <w:rsid w:val="00222044"/>
    <w:rsid w:val="0022695D"/>
    <w:rsid w:val="00232893"/>
    <w:rsid w:val="00256197"/>
    <w:rsid w:val="00265DCD"/>
    <w:rsid w:val="0027140C"/>
    <w:rsid w:val="002951D4"/>
    <w:rsid w:val="002A1C7D"/>
    <w:rsid w:val="002A2084"/>
    <w:rsid w:val="002A37EC"/>
    <w:rsid w:val="002A763D"/>
    <w:rsid w:val="002B2520"/>
    <w:rsid w:val="002C346E"/>
    <w:rsid w:val="002E2158"/>
    <w:rsid w:val="002E4900"/>
    <w:rsid w:val="002E7FE3"/>
    <w:rsid w:val="002F054C"/>
    <w:rsid w:val="002F102F"/>
    <w:rsid w:val="002F1919"/>
    <w:rsid w:val="003103B6"/>
    <w:rsid w:val="00314316"/>
    <w:rsid w:val="003270B4"/>
    <w:rsid w:val="0034200B"/>
    <w:rsid w:val="00342DAA"/>
    <w:rsid w:val="00350735"/>
    <w:rsid w:val="00356091"/>
    <w:rsid w:val="0036195C"/>
    <w:rsid w:val="00362743"/>
    <w:rsid w:val="003634F2"/>
    <w:rsid w:val="003714FA"/>
    <w:rsid w:val="003729B8"/>
    <w:rsid w:val="003757D9"/>
    <w:rsid w:val="00384178"/>
    <w:rsid w:val="003879D0"/>
    <w:rsid w:val="003B2A12"/>
    <w:rsid w:val="003B363E"/>
    <w:rsid w:val="003D7935"/>
    <w:rsid w:val="00421C64"/>
    <w:rsid w:val="00421FB6"/>
    <w:rsid w:val="00427533"/>
    <w:rsid w:val="00432C1A"/>
    <w:rsid w:val="004371A2"/>
    <w:rsid w:val="004404BD"/>
    <w:rsid w:val="00447C9C"/>
    <w:rsid w:val="004536BB"/>
    <w:rsid w:val="0047261D"/>
    <w:rsid w:val="00473C1B"/>
    <w:rsid w:val="00487423"/>
    <w:rsid w:val="004926BB"/>
    <w:rsid w:val="0049408E"/>
    <w:rsid w:val="00494DBB"/>
    <w:rsid w:val="00497816"/>
    <w:rsid w:val="004A4CB3"/>
    <w:rsid w:val="004B3705"/>
    <w:rsid w:val="004E4A9D"/>
    <w:rsid w:val="00501A14"/>
    <w:rsid w:val="005042CE"/>
    <w:rsid w:val="00515C65"/>
    <w:rsid w:val="00516942"/>
    <w:rsid w:val="00517065"/>
    <w:rsid w:val="005223A3"/>
    <w:rsid w:val="00522590"/>
    <w:rsid w:val="00522EC2"/>
    <w:rsid w:val="00534222"/>
    <w:rsid w:val="005376C4"/>
    <w:rsid w:val="00537D3C"/>
    <w:rsid w:val="00541E94"/>
    <w:rsid w:val="005515F6"/>
    <w:rsid w:val="0057044A"/>
    <w:rsid w:val="00572707"/>
    <w:rsid w:val="005729AF"/>
    <w:rsid w:val="0057607B"/>
    <w:rsid w:val="005B3F0A"/>
    <w:rsid w:val="005B77E1"/>
    <w:rsid w:val="005D19AB"/>
    <w:rsid w:val="005D36B2"/>
    <w:rsid w:val="005D6D56"/>
    <w:rsid w:val="005E1207"/>
    <w:rsid w:val="005F4497"/>
    <w:rsid w:val="005F675E"/>
    <w:rsid w:val="0060780B"/>
    <w:rsid w:val="00607B29"/>
    <w:rsid w:val="00610E17"/>
    <w:rsid w:val="0061718B"/>
    <w:rsid w:val="006339F0"/>
    <w:rsid w:val="006567F5"/>
    <w:rsid w:val="006660BF"/>
    <w:rsid w:val="00675A2D"/>
    <w:rsid w:val="00677BA6"/>
    <w:rsid w:val="00677D45"/>
    <w:rsid w:val="0068718D"/>
    <w:rsid w:val="006A1758"/>
    <w:rsid w:val="006A3E82"/>
    <w:rsid w:val="006B1652"/>
    <w:rsid w:val="006B35C4"/>
    <w:rsid w:val="006B7EC3"/>
    <w:rsid w:val="006C1FE2"/>
    <w:rsid w:val="006C3A87"/>
    <w:rsid w:val="006C7428"/>
    <w:rsid w:val="006D406A"/>
    <w:rsid w:val="006E31B9"/>
    <w:rsid w:val="006F33D5"/>
    <w:rsid w:val="006F43E7"/>
    <w:rsid w:val="00711CB9"/>
    <w:rsid w:val="00730D23"/>
    <w:rsid w:val="00735A92"/>
    <w:rsid w:val="007366F8"/>
    <w:rsid w:val="00737DB8"/>
    <w:rsid w:val="00751712"/>
    <w:rsid w:val="00752CE5"/>
    <w:rsid w:val="007533CD"/>
    <w:rsid w:val="00757177"/>
    <w:rsid w:val="00760767"/>
    <w:rsid w:val="00767F66"/>
    <w:rsid w:val="007814FB"/>
    <w:rsid w:val="00785C07"/>
    <w:rsid w:val="00786804"/>
    <w:rsid w:val="00791887"/>
    <w:rsid w:val="00794104"/>
    <w:rsid w:val="00797E6C"/>
    <w:rsid w:val="007A4C2B"/>
    <w:rsid w:val="007B3737"/>
    <w:rsid w:val="007B5DB5"/>
    <w:rsid w:val="007C1685"/>
    <w:rsid w:val="007C6585"/>
    <w:rsid w:val="007E2421"/>
    <w:rsid w:val="007E4689"/>
    <w:rsid w:val="007F453D"/>
    <w:rsid w:val="00801D07"/>
    <w:rsid w:val="00805713"/>
    <w:rsid w:val="00821FC3"/>
    <w:rsid w:val="0082230A"/>
    <w:rsid w:val="0084444C"/>
    <w:rsid w:val="0085317B"/>
    <w:rsid w:val="008577E3"/>
    <w:rsid w:val="008723DC"/>
    <w:rsid w:val="00873ECF"/>
    <w:rsid w:val="00883AB4"/>
    <w:rsid w:val="008928EF"/>
    <w:rsid w:val="008A7250"/>
    <w:rsid w:val="008B02CA"/>
    <w:rsid w:val="008B441E"/>
    <w:rsid w:val="008B508A"/>
    <w:rsid w:val="008B658A"/>
    <w:rsid w:val="008D0F78"/>
    <w:rsid w:val="008E02CB"/>
    <w:rsid w:val="008F0164"/>
    <w:rsid w:val="00912D77"/>
    <w:rsid w:val="0091313F"/>
    <w:rsid w:val="00936E41"/>
    <w:rsid w:val="00940965"/>
    <w:rsid w:val="00940E7A"/>
    <w:rsid w:val="009460EB"/>
    <w:rsid w:val="009479C2"/>
    <w:rsid w:val="00953726"/>
    <w:rsid w:val="00962B0B"/>
    <w:rsid w:val="00974AF3"/>
    <w:rsid w:val="00974F6C"/>
    <w:rsid w:val="00984281"/>
    <w:rsid w:val="00984D1F"/>
    <w:rsid w:val="0099641E"/>
    <w:rsid w:val="009A3036"/>
    <w:rsid w:val="009A4070"/>
    <w:rsid w:val="009A46AC"/>
    <w:rsid w:val="009C1322"/>
    <w:rsid w:val="009C4D11"/>
    <w:rsid w:val="009C7983"/>
    <w:rsid w:val="009D4B0A"/>
    <w:rsid w:val="009F1C8A"/>
    <w:rsid w:val="009F1D3C"/>
    <w:rsid w:val="009F4DEE"/>
    <w:rsid w:val="009F7880"/>
    <w:rsid w:val="00A15911"/>
    <w:rsid w:val="00A20F87"/>
    <w:rsid w:val="00A3583C"/>
    <w:rsid w:val="00A37441"/>
    <w:rsid w:val="00A4284A"/>
    <w:rsid w:val="00A67626"/>
    <w:rsid w:val="00A71A67"/>
    <w:rsid w:val="00A742DB"/>
    <w:rsid w:val="00A86306"/>
    <w:rsid w:val="00A90DE8"/>
    <w:rsid w:val="00A90E73"/>
    <w:rsid w:val="00A934E0"/>
    <w:rsid w:val="00A978DD"/>
    <w:rsid w:val="00AB3CAE"/>
    <w:rsid w:val="00AB3DCE"/>
    <w:rsid w:val="00AC4C8E"/>
    <w:rsid w:val="00AC5334"/>
    <w:rsid w:val="00AC54E4"/>
    <w:rsid w:val="00AC63D9"/>
    <w:rsid w:val="00AD4D72"/>
    <w:rsid w:val="00AD52C0"/>
    <w:rsid w:val="00AD55B3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32F4E"/>
    <w:rsid w:val="00B359F1"/>
    <w:rsid w:val="00B42ADB"/>
    <w:rsid w:val="00B44330"/>
    <w:rsid w:val="00B50B36"/>
    <w:rsid w:val="00B51B35"/>
    <w:rsid w:val="00B6796C"/>
    <w:rsid w:val="00B72533"/>
    <w:rsid w:val="00BA2418"/>
    <w:rsid w:val="00BB093E"/>
    <w:rsid w:val="00BB72F1"/>
    <w:rsid w:val="00BC40D9"/>
    <w:rsid w:val="00BC4670"/>
    <w:rsid w:val="00BC5F40"/>
    <w:rsid w:val="00BD3BC3"/>
    <w:rsid w:val="00BD4BE5"/>
    <w:rsid w:val="00BE3D3D"/>
    <w:rsid w:val="00BE712C"/>
    <w:rsid w:val="00BF26D0"/>
    <w:rsid w:val="00C0073A"/>
    <w:rsid w:val="00C1106B"/>
    <w:rsid w:val="00C114DA"/>
    <w:rsid w:val="00C1231E"/>
    <w:rsid w:val="00C141C2"/>
    <w:rsid w:val="00C2122E"/>
    <w:rsid w:val="00C252BB"/>
    <w:rsid w:val="00C33730"/>
    <w:rsid w:val="00C36922"/>
    <w:rsid w:val="00C37B81"/>
    <w:rsid w:val="00C43D8A"/>
    <w:rsid w:val="00C45F79"/>
    <w:rsid w:val="00C5000E"/>
    <w:rsid w:val="00C53141"/>
    <w:rsid w:val="00C57658"/>
    <w:rsid w:val="00C612A3"/>
    <w:rsid w:val="00C6256F"/>
    <w:rsid w:val="00C6571D"/>
    <w:rsid w:val="00C65B40"/>
    <w:rsid w:val="00C66442"/>
    <w:rsid w:val="00CA1876"/>
    <w:rsid w:val="00CB0541"/>
    <w:rsid w:val="00CB24FD"/>
    <w:rsid w:val="00CD220E"/>
    <w:rsid w:val="00CE0130"/>
    <w:rsid w:val="00D10B18"/>
    <w:rsid w:val="00D11611"/>
    <w:rsid w:val="00D2007D"/>
    <w:rsid w:val="00D32EC0"/>
    <w:rsid w:val="00D34171"/>
    <w:rsid w:val="00D54FC2"/>
    <w:rsid w:val="00D642EB"/>
    <w:rsid w:val="00D75DE2"/>
    <w:rsid w:val="00D808E7"/>
    <w:rsid w:val="00D91920"/>
    <w:rsid w:val="00D95BC6"/>
    <w:rsid w:val="00DA4EAA"/>
    <w:rsid w:val="00DC4C3A"/>
    <w:rsid w:val="00DC580D"/>
    <w:rsid w:val="00DE4A42"/>
    <w:rsid w:val="00DE5A79"/>
    <w:rsid w:val="00E02CF3"/>
    <w:rsid w:val="00E03EB6"/>
    <w:rsid w:val="00E04634"/>
    <w:rsid w:val="00E07550"/>
    <w:rsid w:val="00E11996"/>
    <w:rsid w:val="00E20FF8"/>
    <w:rsid w:val="00E30CDB"/>
    <w:rsid w:val="00E57460"/>
    <w:rsid w:val="00E84D56"/>
    <w:rsid w:val="00E91482"/>
    <w:rsid w:val="00E92FD1"/>
    <w:rsid w:val="00E95E28"/>
    <w:rsid w:val="00EA4392"/>
    <w:rsid w:val="00EB412A"/>
    <w:rsid w:val="00ED1DBC"/>
    <w:rsid w:val="00EE3EA8"/>
    <w:rsid w:val="00EE60F2"/>
    <w:rsid w:val="00EE786A"/>
    <w:rsid w:val="00EF0A74"/>
    <w:rsid w:val="00EF0C14"/>
    <w:rsid w:val="00EF4D2F"/>
    <w:rsid w:val="00EF6433"/>
    <w:rsid w:val="00EF6B87"/>
    <w:rsid w:val="00F03D42"/>
    <w:rsid w:val="00F234E6"/>
    <w:rsid w:val="00F24DFC"/>
    <w:rsid w:val="00F25D08"/>
    <w:rsid w:val="00F533C0"/>
    <w:rsid w:val="00F615C8"/>
    <w:rsid w:val="00F73592"/>
    <w:rsid w:val="00F83075"/>
    <w:rsid w:val="00FA1DB7"/>
    <w:rsid w:val="00FB05C8"/>
    <w:rsid w:val="00FB109E"/>
    <w:rsid w:val="00FC67BB"/>
    <w:rsid w:val="00FD6778"/>
    <w:rsid w:val="00FD6E32"/>
    <w:rsid w:val="00FD71ED"/>
    <w:rsid w:val="00FE2318"/>
    <w:rsid w:val="00FE6F6F"/>
    <w:rsid w:val="00FF0B89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47EE35D"/>
  <w15:docId w15:val="{776E81CC-C528-46D2-A700-4A2E9F5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0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B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0B8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ka.bora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.petr@touax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060C-AA96-47F5-B428-8C66AD61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Petr</dc:creator>
  <cp:lastModifiedBy>Veronika Boráková</cp:lastModifiedBy>
  <cp:revision>3</cp:revision>
  <cp:lastPrinted>2016-04-07T15:04:00Z</cp:lastPrinted>
  <dcterms:created xsi:type="dcterms:W3CDTF">2016-11-28T13:06:00Z</dcterms:created>
  <dcterms:modified xsi:type="dcterms:W3CDTF">2016-11-29T12:38:00Z</dcterms:modified>
</cp:coreProperties>
</file>